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SCHEDULE I</w:t>
      </w:r>
    </w:p>
    <w:p w:rsidR="00FB16CB" w:rsidRPr="00354413" w:rsidRDefault="00FB16CB" w:rsidP="00F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354413">
        <w:rPr>
          <w:rFonts w:ascii="Times New Roman" w:hAnsi="Times New Roman" w:cs="Times New Roman"/>
          <w:szCs w:val="22"/>
        </w:rPr>
        <w:t>[See rules 3(e)</w:t>
      </w:r>
      <w:proofErr w:type="gramStart"/>
      <w:r w:rsidRPr="00354413">
        <w:rPr>
          <w:rFonts w:ascii="Times New Roman" w:hAnsi="Times New Roman" w:cs="Times New Roman"/>
          <w:szCs w:val="22"/>
        </w:rPr>
        <w:t>,4</w:t>
      </w:r>
      <w:proofErr w:type="gramEnd"/>
      <w:r w:rsidRPr="00354413">
        <w:rPr>
          <w:rFonts w:ascii="Times New Roman" w:hAnsi="Times New Roman" w:cs="Times New Roman"/>
          <w:szCs w:val="22"/>
        </w:rPr>
        <w:t>(b),7(1),7(2),7(5),7(6) and 8(2)]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Part-1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Biomedical wastes categories and their segregation, collection, treatment, processing and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disposal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options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leGrid"/>
        <w:tblW w:w="9648" w:type="dxa"/>
        <w:tblLayout w:type="fixed"/>
        <w:tblLook w:val="04A0"/>
      </w:tblPr>
      <w:tblGrid>
        <w:gridCol w:w="1008"/>
        <w:gridCol w:w="3960"/>
        <w:gridCol w:w="1440"/>
        <w:gridCol w:w="3240"/>
      </w:tblGrid>
      <w:tr w:rsidR="00FB16CB" w:rsidTr="00FB16CB">
        <w:trPr>
          <w:trHeight w:val="961"/>
        </w:trPr>
        <w:tc>
          <w:tcPr>
            <w:tcW w:w="1008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Category</w:t>
            </w:r>
          </w:p>
        </w:tc>
        <w:tc>
          <w:tcPr>
            <w:tcW w:w="396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Type of Waste</w:t>
            </w:r>
          </w:p>
        </w:tc>
        <w:tc>
          <w:tcPr>
            <w:tcW w:w="144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Type of Bag or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Container to be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used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24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Treatment and Disposal options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FB16CB" w:rsidTr="00FB16CB">
        <w:trPr>
          <w:trHeight w:val="332"/>
        </w:trPr>
        <w:tc>
          <w:tcPr>
            <w:tcW w:w="1008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(1)</w:t>
            </w:r>
          </w:p>
        </w:tc>
        <w:tc>
          <w:tcPr>
            <w:tcW w:w="396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(2)</w:t>
            </w:r>
          </w:p>
        </w:tc>
        <w:tc>
          <w:tcPr>
            <w:tcW w:w="1440" w:type="dxa"/>
          </w:tcPr>
          <w:p w:rsidR="00FB16CB" w:rsidRDefault="00FB16CB" w:rsidP="00FB1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(3)</w:t>
            </w:r>
          </w:p>
        </w:tc>
        <w:tc>
          <w:tcPr>
            <w:tcW w:w="3240" w:type="dxa"/>
          </w:tcPr>
          <w:p w:rsidR="00FB16CB" w:rsidRDefault="00FB16CB" w:rsidP="00FB1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(4)</w:t>
            </w:r>
          </w:p>
        </w:tc>
      </w:tr>
      <w:tr w:rsidR="00FB16CB" w:rsidTr="003309CA">
        <w:trPr>
          <w:trHeight w:val="1547"/>
        </w:trPr>
        <w:tc>
          <w:tcPr>
            <w:tcW w:w="1008" w:type="dxa"/>
          </w:tcPr>
          <w:p w:rsidR="00FB16CB" w:rsidRPr="003309CA" w:rsidRDefault="00FB16CB" w:rsidP="00FB1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szCs w:val="22"/>
                <w:highlight w:val="yellow"/>
              </w:rPr>
              <w:t>Yellow</w:t>
            </w: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(a)Human Anatomical Waste: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Human tissues, organs,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body parts and fetus below the viability period (as per the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Medical Termination of Pregnancy Act 1971</w:t>
            </w: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,amended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from time to time).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Yellow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coloured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non-chlorinated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plastic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bags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>.</w:t>
            </w: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Incineration or Plasma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deep burial</w:t>
            </w:r>
            <w:r w:rsidRPr="003309C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*</w:t>
            </w:r>
          </w:p>
        </w:tc>
      </w:tr>
      <w:tr w:rsidR="00FB16CB" w:rsidTr="003309CA">
        <w:trPr>
          <w:trHeight w:val="1493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(b)Animal Anatomical</w:t>
            </w:r>
            <w:r w:rsidR="003309CA"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Waste :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Experimental animal carcasses, body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parts,organs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, tissues,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including the waste generated from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animals used in experiments or testing in veterinary hospitals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or colleges or animal houses.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B16CB" w:rsidTr="00FB16CB">
        <w:trPr>
          <w:trHeight w:val="2353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(c) Soiled Waste: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Items contaminated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with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blood, body fluids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like dressings, plaster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casts, cotton swabs and bags containing residual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or discarded blood and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blood components.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Incineration or Plasma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 deep burial</w:t>
            </w:r>
            <w:r w:rsidRPr="003309C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*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In absence of above facilities,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autoclaving or micro-waving/ 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hydroclaving</w:t>
            </w:r>
            <w:proofErr w:type="spellEnd"/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followed by shredding or mutilation or combination of sterilization and shredding. Treated waste to be sent for energy recovery.</w:t>
            </w:r>
          </w:p>
        </w:tc>
      </w:tr>
      <w:tr w:rsidR="00FB16CB" w:rsidTr="00FB16CB">
        <w:trPr>
          <w:trHeight w:val="3243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(d) Expired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Discarded Medicines: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Pharmaceutical waste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like antibiotics,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cytotoxic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drugs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including all items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contaminated with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cytotoxic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drugs along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with glass or plastic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ampoules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, vials etc.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Yellow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coloured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non-chlorinated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plastic bags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containers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Expired `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cytotoxic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drugs and items contaminated with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cytotoxic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drugs to be returned back to the manufacturer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supplier for incineration at temperature&gt;1200 </w:t>
            </w:r>
            <w:r w:rsidRPr="003309C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 or to common bio-medical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waste treatment facility or hazardous waste treatment, storage and disposal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facility for incineration at &gt;1200</w:t>
            </w:r>
            <w:r w:rsidRPr="003309C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C Or Encapsulation or Plasma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at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&gt;1200</w:t>
            </w:r>
            <w:r w:rsidRPr="003309C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C.All other discarded medicines shall be either sent back to manufacturer or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disposed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by incineration.</w:t>
            </w:r>
          </w:p>
        </w:tc>
      </w:tr>
      <w:tr w:rsidR="00FB16CB" w:rsidTr="00FB16CB">
        <w:trPr>
          <w:trHeight w:val="1240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(e) Chemical Waste: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Chemicals used in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production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of biological and used or discarded disinfectants.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Yellow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coloured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containers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non-chlorinated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plastic bags</w:t>
            </w: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Disposed of by incineration or Plasma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 Encapsulation  in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hazardous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waste treatment, storage and disposal facility.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(f) Chemical Liquid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Waste :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Liquid waste generated due to use of chemicals in production of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biological and used or discarded disinfectants, Silver X-ray film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developing liquid, discarded Formalin,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infected secretions, aspirated body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fluids</w:t>
            </w: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 xml:space="preserve">,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liquid from laboratories and floor</w:t>
            </w:r>
          </w:p>
          <w:p w:rsidR="00FB16CB" w:rsidRPr="003309CA" w:rsidRDefault="00FB16CB" w:rsidP="00FB1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washings, cleaning, house-keeping and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disinfecting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activitiesetc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Separate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collection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system leading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to effluent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treatment system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After resource recovery, the chemical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liquid waste shall be pre-treated before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mixing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with other wastewater. The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combined discharge shall conform to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the discharge norms given in Schedule-III.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 xml:space="preserve">(g)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Discarded linen,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mattresses, beddings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contaminated with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blood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 body fluid.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Non-chlorinated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yellow plastic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bags or suitable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packing material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Non- chlorinated chemical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disinfectionfollowed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by incineration or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Plazma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 for energy recovery.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In absence of above facilities, shredding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or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mutilation or combination of sterilization and shredding. Treated waste to be sent for energy recovery or incineration or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Plazma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Pyrolysis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.</w:t>
            </w: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(h) Microbiology,</w:t>
            </w:r>
            <w:r w:rsidR="003309CA"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Biotechnology and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other clinical</w:t>
            </w:r>
            <w:r w:rsidR="003309CA"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  <w:t>laboratory waste: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Blood bags, Laboratory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cultures, stocks or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specimens of microorganisms,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live or attenuated vaccines, human and animal cell cultures used in research, industrial laboratories, production of biological, residual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toxins, dishes and</w:t>
            </w:r>
            <w:r w:rsidR="003309CA"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devices used for cultures.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Autoclave safe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plastic bags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containers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Pre-treat to sterilize with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nonchlorinated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chemicals on-site as per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National AIDS Control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Organisation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World Health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Organisation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guidelines</w:t>
            </w:r>
          </w:p>
          <w:p w:rsidR="00FB16CB" w:rsidRPr="003309CA" w:rsidRDefault="00FB16CB" w:rsidP="0033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>thereafter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yellow"/>
              </w:rPr>
              <w:t xml:space="preserve"> for Incineration.</w:t>
            </w: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3309CA" w:rsidRPr="003309CA" w:rsidRDefault="003309CA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red"/>
              </w:rPr>
            </w:pPr>
          </w:p>
          <w:p w:rsidR="003309CA" w:rsidRPr="003309CA" w:rsidRDefault="003309CA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highlight w:val="red"/>
              </w:rPr>
            </w:pP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b/>
                <w:szCs w:val="22"/>
                <w:highlight w:val="red"/>
              </w:rPr>
              <w:t>Red</w:t>
            </w: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red"/>
              </w:rPr>
              <w:t>Contaminated Waste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red"/>
              </w:rPr>
              <w:t>(Recyclable)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(a) Wastes generated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from disposable items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such as tubing, bottles,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intravenous tubes and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sets, catheters, urine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bags, syringes (without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needles and </w:t>
            </w:r>
            <w:r w:rsidRPr="003309CA">
              <w:rPr>
                <w:rFonts w:ascii="Times New Roman" w:hAnsi="Times New Roman" w:cs="Times New Roman"/>
                <w:i/>
                <w:iCs/>
                <w:szCs w:val="22"/>
                <w:highlight w:val="red"/>
              </w:rPr>
              <w:t>fixed needle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i/>
                <w:iCs/>
                <w:szCs w:val="22"/>
                <w:highlight w:val="red"/>
              </w:rPr>
              <w:t>syringes</w:t>
            </w: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) and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vaccutainers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 with their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red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needles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 cut) and gloves.</w:t>
            </w: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Red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coloured</w:t>
            </w:r>
            <w:proofErr w:type="spellEnd"/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non-chlorinated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plastic bags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containers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Autoclaving or micro-waving/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hydroclaving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 followed by shredding or mutilation or combination of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sterilization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 xml:space="preserve"> and shredding. Treated waste to be sent to registered or authorized recyclers or for energy recovery or plastics to diesel or fuel oil or for road making, whichever is possible.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red"/>
              </w:rPr>
              <w:t>Plastic waste should not be sent to landfill sites.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red"/>
              </w:rPr>
            </w:pP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White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(Translucent)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Waste sharps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including Metals: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Needles, syringes with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fixed needles, needles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from needle tip cutter or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burner, scalpels, blades,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or any other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contaminated sharp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object that may cause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puncture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and cuts. This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includes both used,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discarded and</w:t>
            </w:r>
            <w:r w:rsidR="00330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contaminated metal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sharps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Puncture proof,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Leak proof,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tamper proof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containers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0" w:type="dxa"/>
          </w:tcPr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Autoclaving or Dry Heat Sterilization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followed by shredding or mutilation or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encapsulation in metal container or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cement concrete; combination of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shredding cum autoclaving; and sent for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final disposal to iron foundries (having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consent to operate from the State Pollution Control Boards or Pollution Control Committees) or sanitary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landfill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or designated concrete waste sharp pit.</w:t>
            </w:r>
          </w:p>
          <w:p w:rsidR="00FB16CB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b/>
                <w:szCs w:val="22"/>
                <w:highlight w:val="blue"/>
              </w:rPr>
              <w:t>Blue</w:t>
            </w: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  <w:t>(a) Glassware: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Broken or discarded and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contaminated glass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including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 xml:space="preserve"> medicine vials and ampoules except those contaminated with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cytotoxic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 xml:space="preserve"> wastes.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</w:pP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Cardboard boxes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with blue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colored marking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Disinfection (by soaking the washed glass waste after cleaning with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detergent and Sodium Hypochlorite treatment) or through autoclaving or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proofErr w:type="gramStart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microwaving</w:t>
            </w:r>
            <w:proofErr w:type="gramEnd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 xml:space="preserve"> or </w:t>
            </w:r>
            <w:proofErr w:type="spellStart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hydroclaving</w:t>
            </w:r>
            <w:proofErr w:type="spellEnd"/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 xml:space="preserve"> and then sent for recycling.</w:t>
            </w:r>
          </w:p>
        </w:tc>
      </w:tr>
      <w:tr w:rsidR="00FB16CB" w:rsidTr="00FB16CB">
        <w:trPr>
          <w:trHeight w:val="137"/>
        </w:trPr>
        <w:tc>
          <w:tcPr>
            <w:tcW w:w="1008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</w:p>
        </w:tc>
        <w:tc>
          <w:tcPr>
            <w:tcW w:w="396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  <w:t>(b) Metallic Body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  <w:t>Implants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  <w:highlight w:val="blue"/>
              </w:rPr>
            </w:pPr>
          </w:p>
        </w:tc>
        <w:tc>
          <w:tcPr>
            <w:tcW w:w="14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Cardboard boxes with blue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  <w:r w:rsidRPr="003309CA">
              <w:rPr>
                <w:rFonts w:ascii="Times New Roman" w:hAnsi="Times New Roman" w:cs="Times New Roman"/>
                <w:szCs w:val="22"/>
                <w:highlight w:val="blue"/>
              </w:rPr>
              <w:t>colored marking</w:t>
            </w:r>
          </w:p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</w:p>
        </w:tc>
        <w:tc>
          <w:tcPr>
            <w:tcW w:w="3240" w:type="dxa"/>
          </w:tcPr>
          <w:p w:rsidR="00FB16CB" w:rsidRPr="003309CA" w:rsidRDefault="00FB16CB" w:rsidP="00884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  <w:highlight w:val="blue"/>
              </w:rPr>
            </w:pPr>
          </w:p>
        </w:tc>
      </w:tr>
    </w:tbl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*</w:t>
      </w:r>
      <w:r>
        <w:rPr>
          <w:rFonts w:ascii="Times New Roman" w:hAnsi="Times New Roman" w:cs="Times New Roman"/>
          <w:b/>
          <w:bCs/>
          <w:szCs w:val="22"/>
        </w:rPr>
        <w:t>Disposal by deep burial is permitted only in rural or remote areas where there is no access to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common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bio-medical waste treatment facility. This will be carried out with prior approval from the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prescribed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authority and as per the Standards specified in Schedule-III. The deep burial facility</w:t>
      </w:r>
    </w:p>
    <w:p w:rsid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shall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be located as per the provisions and guidelines issued by Central Pollution Control Board</w:t>
      </w:r>
    </w:p>
    <w:p w:rsidR="00FB16CB" w:rsidRPr="00FB16CB" w:rsidRDefault="00FB16CB" w:rsidP="00FB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from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time to time.</w:t>
      </w:r>
    </w:p>
    <w:sectPr w:rsidR="00FB16CB" w:rsidRPr="00FB16CB" w:rsidSect="00FA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6CB"/>
    <w:rsid w:val="003309CA"/>
    <w:rsid w:val="00FA4644"/>
    <w:rsid w:val="00FB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CB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6CB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cp:lastModifiedBy>AKM</cp:lastModifiedBy>
  <cp:revision>1</cp:revision>
  <dcterms:created xsi:type="dcterms:W3CDTF">2017-11-10T08:40:00Z</dcterms:created>
  <dcterms:modified xsi:type="dcterms:W3CDTF">2017-11-10T08:56:00Z</dcterms:modified>
</cp:coreProperties>
</file>